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bookmarkStart w:id="0" w:name="_GoBack"/>
      <w:bookmarkEnd w:id="0"/>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24514CFF"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3C55E8" w:rsidRPr="00E926D1">
        <w:rPr>
          <w:rFonts w:ascii="標楷體" w:eastAsia="標楷體" w:hAnsi="標楷體" w:hint="eastAsia"/>
          <w:color w:val="000000" w:themeColor="text1"/>
          <w:sz w:val="28"/>
          <w:szCs w:val="36"/>
        </w:rPr>
        <w:t>設籍屏東，且</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580E8" w14:textId="77777777" w:rsidR="003E24E5" w:rsidRDefault="003E24E5" w:rsidP="00B538BD">
      <w:r>
        <w:separator/>
      </w:r>
    </w:p>
  </w:endnote>
  <w:endnote w:type="continuationSeparator" w:id="0">
    <w:p w14:paraId="46804113" w14:textId="77777777" w:rsidR="003E24E5" w:rsidRDefault="003E24E5"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77A3D" w14:textId="77777777" w:rsidR="003E24E5" w:rsidRDefault="003E24E5" w:rsidP="00B538BD">
      <w:r>
        <w:separator/>
      </w:r>
    </w:p>
  </w:footnote>
  <w:footnote w:type="continuationSeparator" w:id="0">
    <w:p w14:paraId="23A0BA22" w14:textId="77777777" w:rsidR="003E24E5" w:rsidRDefault="003E24E5" w:rsidP="00B5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1264"/>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24E5"/>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FEF1-6FA5-4727-98F9-C929F9AA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2016-02-25T09:00:00Z</cp:lastPrinted>
  <dcterms:created xsi:type="dcterms:W3CDTF">2021-10-04T00:05:00Z</dcterms:created>
  <dcterms:modified xsi:type="dcterms:W3CDTF">2021-10-04T00:05:00Z</dcterms:modified>
</cp:coreProperties>
</file>